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9C" w:rsidRPr="00CD689C" w:rsidRDefault="00CD689C" w:rsidP="00CD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D689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Všeobecne záväzné nariadenie obce </w:t>
      </w:r>
      <w:r w:rsidRPr="00CD689C">
        <w:rPr>
          <w:rFonts w:ascii="Arial" w:eastAsia="Times New Roman" w:hAnsi="Arial" w:cs="Arial"/>
          <w:b/>
          <w:sz w:val="20"/>
          <w:szCs w:val="20"/>
          <w:lang w:eastAsia="x-none"/>
        </w:rPr>
        <w:t>Budmerice</w:t>
      </w:r>
      <w:r w:rsidRPr="00CD689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č. </w:t>
      </w:r>
      <w:r w:rsidRPr="00CD689C">
        <w:rPr>
          <w:rFonts w:ascii="Arial" w:eastAsia="Times New Roman" w:hAnsi="Arial" w:cs="Arial"/>
          <w:b/>
          <w:sz w:val="20"/>
          <w:szCs w:val="20"/>
          <w:lang w:eastAsia="x-none"/>
        </w:rPr>
        <w:t>6/2013</w:t>
      </w:r>
    </w:p>
    <w:p w:rsidR="00CD689C" w:rsidRPr="00CD689C" w:rsidRDefault="00CD689C" w:rsidP="00CD6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CD689C">
        <w:rPr>
          <w:rFonts w:ascii="Arial" w:eastAsia="Times New Roman" w:hAnsi="Arial" w:cs="Arial"/>
          <w:b/>
          <w:sz w:val="20"/>
          <w:szCs w:val="20"/>
          <w:lang w:val="x-none" w:eastAsia="x-none"/>
        </w:rPr>
        <w:t>o </w:t>
      </w:r>
      <w:r w:rsidRPr="00CD689C">
        <w:rPr>
          <w:rFonts w:ascii="Arial" w:eastAsia="Times New Roman" w:hAnsi="Arial" w:cs="Arial"/>
          <w:b/>
          <w:sz w:val="20"/>
          <w:szCs w:val="20"/>
          <w:lang w:eastAsia="x-none"/>
        </w:rPr>
        <w:t>miestnej dani za nevýherné hracie prístroje</w:t>
      </w:r>
    </w:p>
    <w:p w:rsidR="00CD689C" w:rsidRP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D68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Obec </w:t>
      </w:r>
      <w:r w:rsidRPr="00CD689C">
        <w:rPr>
          <w:rFonts w:ascii="Arial" w:eastAsia="Times New Roman" w:hAnsi="Arial" w:cs="Arial"/>
          <w:sz w:val="20"/>
          <w:szCs w:val="20"/>
          <w:lang w:eastAsia="x-none"/>
        </w:rPr>
        <w:t>Budmerice,</w:t>
      </w:r>
      <w:r w:rsidRPr="00CD68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Obecné zastupiteľstvo v </w:t>
      </w:r>
      <w:r w:rsidRPr="00CD689C">
        <w:rPr>
          <w:rFonts w:ascii="Arial" w:eastAsia="Times New Roman" w:hAnsi="Arial" w:cs="Arial"/>
          <w:sz w:val="20"/>
          <w:szCs w:val="20"/>
          <w:lang w:eastAsia="x-none"/>
        </w:rPr>
        <w:t>Budmericiach</w:t>
      </w:r>
      <w:r w:rsidRPr="00CD68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v zmysle § 4 ods. 3 písm. c) , § 6 a § 11 ods. 4 písm. d), e) a g) zákona č. 369/1990 Zb. o obecnom zriadení v znení neskorších zmien a doplnkov a v súlade s § 59 a súvisiacich ustanovení zákona č. 582/2004 </w:t>
      </w:r>
      <w:proofErr w:type="spellStart"/>
      <w:r w:rsidRPr="00CD689C">
        <w:rPr>
          <w:rFonts w:ascii="Arial" w:eastAsia="Times New Roman" w:hAnsi="Arial" w:cs="Arial"/>
          <w:sz w:val="20"/>
          <w:szCs w:val="20"/>
          <w:lang w:val="x-none" w:eastAsia="x-none"/>
        </w:rPr>
        <w:t>Z.z</w:t>
      </w:r>
      <w:proofErr w:type="spellEnd"/>
      <w:r w:rsidRPr="00CD689C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o miestnych daniach a miestnom poplatku za komunálne odpady a drobné stavebné odpady v znení neskorších zmien a doplnkov </w:t>
      </w:r>
    </w:p>
    <w:p w:rsidR="00CD689C" w:rsidRP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CD689C">
        <w:rPr>
          <w:rFonts w:ascii="Arial" w:eastAsia="SimSun" w:hAnsi="Arial" w:cs="Arial"/>
          <w:sz w:val="20"/>
          <w:szCs w:val="20"/>
          <w:lang w:eastAsia="zh-CN"/>
        </w:rPr>
        <w:t>sa uznieslo na vydaní tohto</w:t>
      </w: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  <w:r w:rsidRPr="00CD689C">
        <w:rPr>
          <w:rFonts w:ascii="Arial" w:eastAsia="SimSun" w:hAnsi="Arial" w:cs="Arial"/>
          <w:sz w:val="20"/>
          <w:szCs w:val="20"/>
          <w:lang w:eastAsia="zh-CN"/>
        </w:rPr>
        <w:t>všeobecne záväzného nariadenia Obce Budmerice</w:t>
      </w:r>
    </w:p>
    <w:p w:rsidR="00CD689C" w:rsidRDefault="00CD689C" w:rsidP="00CD68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2F723A" w:rsidRPr="00CD689C" w:rsidRDefault="002F723A" w:rsidP="00CD689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Úvodné ustanovenia</w:t>
      </w:r>
    </w:p>
    <w:p w:rsid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 xml:space="preserve">Základné náležitosti o miestnej dani za nevýherné hracie prístroje sú ustanovené v § 52 až 59 zákona č. 582/2004 </w:t>
      </w:r>
      <w:proofErr w:type="spellStart"/>
      <w:r w:rsidRPr="00CD689C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CD689C">
        <w:rPr>
          <w:rFonts w:ascii="Arial" w:eastAsia="Times New Roman" w:hAnsi="Arial" w:cs="Arial"/>
          <w:sz w:val="20"/>
          <w:szCs w:val="20"/>
          <w:lang w:eastAsia="sk-SK"/>
        </w:rPr>
        <w:t>. o miestnych daniach a miestnom poplatku za komunálne odpady a drobné stavebné odpady v znení neskorších zmien a doplnkov.</w:t>
      </w:r>
    </w:p>
    <w:p w:rsidR="002F723A" w:rsidRPr="00CD689C" w:rsidRDefault="002F723A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ustanovenia</w:t>
      </w:r>
    </w:p>
    <w:p w:rsidR="00CD689C" w:rsidRPr="00CD689C" w:rsidRDefault="00CD689C" w:rsidP="00CD689C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CD689C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Obec </w:t>
      </w:r>
      <w:r w:rsidRPr="00CD689C">
        <w:rPr>
          <w:rFonts w:ascii="Arial" w:eastAsia="Times New Roman" w:hAnsi="Arial" w:cs="Arial"/>
          <w:bCs/>
          <w:sz w:val="20"/>
          <w:szCs w:val="20"/>
          <w:lang w:eastAsia="x-none"/>
        </w:rPr>
        <w:t>Budmerice</w:t>
      </w:r>
      <w:r w:rsidRPr="00CD689C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ako správca dane (ďalej len „správca dane“) týmto VZN zavádza s účinnosťou od </w:t>
      </w:r>
      <w:r w:rsidRPr="00CD689C">
        <w:rPr>
          <w:rFonts w:ascii="Arial" w:eastAsia="Times New Roman" w:hAnsi="Arial" w:cs="Arial"/>
          <w:bCs/>
          <w:sz w:val="20"/>
          <w:szCs w:val="20"/>
          <w:lang w:eastAsia="x-none"/>
        </w:rPr>
        <w:t>01.01.2013</w:t>
      </w:r>
      <w:r w:rsidRPr="00CD689C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miestnu daň za nevýherné hracie prístroje.</w:t>
      </w:r>
    </w:p>
    <w:p w:rsidR="00CD689C" w:rsidRDefault="00CD689C" w:rsidP="00CD68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2F723A" w:rsidRPr="00CD689C" w:rsidRDefault="002F723A" w:rsidP="00CD68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sz w:val="20"/>
          <w:szCs w:val="20"/>
          <w:lang w:eastAsia="sk-SK"/>
        </w:rPr>
        <w:t>§ 3</w:t>
      </w: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sz w:val="20"/>
          <w:szCs w:val="20"/>
          <w:lang w:eastAsia="sk-SK"/>
        </w:rPr>
        <w:t>Predmet úpravy VZN</w:t>
      </w:r>
    </w:p>
    <w:p w:rsidR="00CD689C" w:rsidRP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Predmetom tohto všeobecne záväzného nariadenia je určenie náležitosti miestnej dani za nevýherné hracie prístroje podľa splnomocňovacieho ustanovenia </w:t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>§ 59</w:t>
      </w:r>
      <w:r w:rsidRPr="00CD689C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zákona č. 582/2004 </w:t>
      </w:r>
      <w:proofErr w:type="spellStart"/>
      <w:r w:rsidRPr="00CD689C">
        <w:rPr>
          <w:rFonts w:ascii="Arial" w:eastAsia="Times New Roman" w:hAnsi="Arial" w:cs="Arial"/>
          <w:bCs/>
          <w:sz w:val="20"/>
          <w:szCs w:val="20"/>
          <w:lang w:eastAsia="sk-SK"/>
        </w:rPr>
        <w:t>Z.z</w:t>
      </w:r>
      <w:proofErr w:type="spellEnd"/>
      <w:r w:rsidRPr="00CD689C">
        <w:rPr>
          <w:rFonts w:ascii="Arial" w:eastAsia="Times New Roman" w:hAnsi="Arial" w:cs="Arial"/>
          <w:bCs/>
          <w:sz w:val="20"/>
          <w:szCs w:val="20"/>
          <w:lang w:eastAsia="sk-SK"/>
        </w:rPr>
        <w:t>. správcom dane.</w:t>
      </w:r>
    </w:p>
    <w:p w:rsid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2F723A" w:rsidRPr="00CD689C" w:rsidRDefault="002F723A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sz w:val="20"/>
          <w:szCs w:val="20"/>
          <w:lang w:eastAsia="sk-SK"/>
        </w:rPr>
        <w:t>§ 4</w:t>
      </w: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sz w:val="20"/>
          <w:szCs w:val="20"/>
          <w:lang w:eastAsia="sk-SK"/>
        </w:rPr>
        <w:t>Sadzba dane</w:t>
      </w:r>
    </w:p>
    <w:p w:rsidR="00CD689C" w:rsidRP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 xml:space="preserve">Správca dane určuje sadzbu dane </w:t>
      </w:r>
      <w:r w:rsidRPr="00CD689C">
        <w:rPr>
          <w:rFonts w:ascii="Arial" w:eastAsia="Times New Roman" w:hAnsi="Arial" w:cs="Arial"/>
          <w:b/>
          <w:sz w:val="20"/>
          <w:szCs w:val="20"/>
          <w:lang w:eastAsia="sk-SK"/>
        </w:rPr>
        <w:t>33,00</w:t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>EUR za jeden nevýherný hrací prístroj a kalendárny rok.</w:t>
      </w:r>
    </w:p>
    <w:p w:rsidR="00CD689C" w:rsidRDefault="00CD689C" w:rsidP="00CD68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2F723A" w:rsidRPr="00CD689C" w:rsidRDefault="002F723A" w:rsidP="00CD68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sz w:val="20"/>
          <w:szCs w:val="20"/>
          <w:lang w:eastAsia="sk-SK"/>
        </w:rPr>
        <w:t>§ 5</w:t>
      </w:r>
    </w:p>
    <w:p w:rsidR="00CD689C" w:rsidRPr="00CD689C" w:rsidRDefault="00CD689C" w:rsidP="00CD68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b/>
          <w:sz w:val="20"/>
          <w:szCs w:val="20"/>
          <w:lang w:eastAsia="sk-SK"/>
        </w:rPr>
        <w:t>Spôsob vedenia preukaznej evidencie na účely dane a spôsob identifikácie nevýherných hracích prístrojov</w:t>
      </w:r>
    </w:p>
    <w:p w:rsidR="00CD689C" w:rsidRPr="00CD689C" w:rsidRDefault="00CD689C" w:rsidP="00CD68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>Daňovník je povinný viesť preukaznú písomnú (alebo elektronickú) evidenciu nevýherných hracích prístrojov v rozsahu údajov:</w:t>
      </w:r>
    </w:p>
    <w:p w:rsidR="00CD689C" w:rsidRPr="00CD689C" w:rsidRDefault="00CD689C" w:rsidP="00CD689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>výrobné číslo prístroja</w:t>
      </w:r>
    </w:p>
    <w:p w:rsidR="00CD689C" w:rsidRPr="00CD689C" w:rsidRDefault="00CD689C" w:rsidP="00CD689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>dátum začatia prevádzkovania prístroja</w:t>
      </w:r>
    </w:p>
    <w:p w:rsidR="00CD689C" w:rsidRPr="00CD689C" w:rsidRDefault="00CD689C" w:rsidP="00CD689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>označenie prevádzky a miesta, kde je prístroj umiestnený</w:t>
      </w:r>
    </w:p>
    <w:p w:rsidR="00CD689C" w:rsidRPr="00CD689C" w:rsidRDefault="00CD689C" w:rsidP="00CD689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>identifikačné údaje prevádzkovateľa (obchodné meno, sídlo alebo miesto podnikania, IČO, štatutárny zástupca, prevádzkovateľ)</w:t>
      </w:r>
    </w:p>
    <w:p w:rsidR="00CD689C" w:rsidRPr="00CD689C" w:rsidRDefault="00CD689C" w:rsidP="00CD68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>Daňovník je povinný na výzvu správcu dane bezodkladne predložiť inventárny zoznam evidencie nevýherných hracích prístrojov.</w:t>
      </w:r>
    </w:p>
    <w:p w:rsidR="00CD689C" w:rsidRPr="00CD689C" w:rsidRDefault="00CD689C" w:rsidP="00CD689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>Daňovník je povinný označiť každý nevýherný hrací prístroj na viditeľnom mieste štítkom, kde musí byť uvedené obchodné meno prevádzkovateľa, sídlo resp. miesto podnikania, IČO, dátum začatia prevádzkovania nevýherného hracieho prístroja a výrobné číslo.</w:t>
      </w:r>
    </w:p>
    <w:p w:rsidR="00CD689C" w:rsidRDefault="00CD689C" w:rsidP="00CD6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</w:p>
    <w:p w:rsidR="002F723A" w:rsidRPr="00CD689C" w:rsidRDefault="002F723A" w:rsidP="00CD6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highlight w:val="yellow"/>
          <w:lang w:eastAsia="zh-CN"/>
        </w:rPr>
      </w:pP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D689C">
        <w:rPr>
          <w:rFonts w:ascii="Arial" w:eastAsia="SimSun" w:hAnsi="Arial" w:cs="Arial"/>
          <w:b/>
          <w:bCs/>
          <w:sz w:val="20"/>
          <w:szCs w:val="20"/>
          <w:lang w:eastAsia="zh-CN"/>
        </w:rPr>
        <w:t>§ 6</w:t>
      </w: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D689C">
        <w:rPr>
          <w:rFonts w:ascii="Arial" w:eastAsia="SimSun" w:hAnsi="Arial" w:cs="Arial"/>
          <w:b/>
          <w:bCs/>
          <w:sz w:val="20"/>
          <w:szCs w:val="20"/>
          <w:lang w:eastAsia="zh-CN"/>
        </w:rPr>
        <w:t>Zrušovacie ustanovenie</w:t>
      </w: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CD689C">
        <w:rPr>
          <w:rFonts w:ascii="Arial" w:eastAsia="SimSun" w:hAnsi="Arial" w:cs="Arial"/>
          <w:sz w:val="20"/>
          <w:szCs w:val="20"/>
          <w:lang w:eastAsia="zh-CN"/>
        </w:rPr>
        <w:t>Týmto VZN sa zrušuje Všeobecne záväzné nariadenie Obce Budmerice č. 22/2009.</w:t>
      </w:r>
    </w:p>
    <w:p w:rsidR="00CD689C" w:rsidRDefault="00CD689C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F723A" w:rsidRPr="00CD689C" w:rsidRDefault="002F723A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D689C">
        <w:rPr>
          <w:rFonts w:ascii="Arial" w:eastAsia="SimSun" w:hAnsi="Arial" w:cs="Arial"/>
          <w:b/>
          <w:bCs/>
          <w:sz w:val="20"/>
          <w:szCs w:val="20"/>
          <w:lang w:eastAsia="zh-CN"/>
        </w:rPr>
        <w:lastRenderedPageBreak/>
        <w:t>§ 7</w:t>
      </w:r>
    </w:p>
    <w:p w:rsidR="00CD689C" w:rsidRPr="00CD689C" w:rsidRDefault="00CD689C" w:rsidP="00CD68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D689C">
        <w:rPr>
          <w:rFonts w:ascii="Arial" w:eastAsia="SimSun" w:hAnsi="Arial" w:cs="Arial"/>
          <w:b/>
          <w:bCs/>
          <w:sz w:val="20"/>
          <w:szCs w:val="20"/>
          <w:lang w:eastAsia="zh-CN"/>
        </w:rPr>
        <w:t>Záverečné ustanovenie</w:t>
      </w:r>
    </w:p>
    <w:p w:rsid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 xml:space="preserve">Obecné zastupiteľstvo v Budmericiach sa uznieslo na vydaní tohto VZN na svojom zasadnutí dňa </w:t>
      </w:r>
      <w:r w:rsidR="008910D9">
        <w:rPr>
          <w:rFonts w:ascii="Arial" w:eastAsia="Times New Roman" w:hAnsi="Arial" w:cs="Arial"/>
          <w:sz w:val="20"/>
          <w:szCs w:val="20"/>
          <w:lang w:eastAsia="sk-SK"/>
        </w:rPr>
        <w:t>13.12.2012 uznesením č.: 14/8/2012</w:t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 xml:space="preserve"> a toto VZN nadobúda účinnosť dňom </w:t>
      </w:r>
      <w:r w:rsidR="008910D9">
        <w:rPr>
          <w:rFonts w:ascii="Arial" w:eastAsia="Times New Roman" w:hAnsi="Arial" w:cs="Arial"/>
          <w:sz w:val="20"/>
          <w:szCs w:val="20"/>
          <w:lang w:eastAsia="sk-SK"/>
        </w:rPr>
        <w:t>01.01.2013.</w:t>
      </w:r>
    </w:p>
    <w:p w:rsidR="007C17A5" w:rsidRDefault="007C17A5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C17A5" w:rsidRDefault="007C17A5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Pr="00CD689C" w:rsidRDefault="00647783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CD689C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Jozef </w:t>
      </w:r>
      <w:proofErr w:type="spellStart"/>
      <w:r w:rsidRPr="00CD689C">
        <w:rPr>
          <w:rFonts w:ascii="Arial" w:eastAsia="Times New Roman" w:hAnsi="Arial" w:cs="Arial"/>
          <w:sz w:val="20"/>
          <w:szCs w:val="20"/>
          <w:lang w:eastAsia="sk-SK"/>
        </w:rPr>
        <w:t>Savkuliak</w:t>
      </w:r>
      <w:proofErr w:type="spellEnd"/>
    </w:p>
    <w:p w:rsidR="00CD689C" w:rsidRDefault="00CD689C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CD689C">
        <w:rPr>
          <w:rFonts w:ascii="Arial" w:eastAsia="Times New Roman" w:hAnsi="Arial" w:cs="Arial"/>
          <w:sz w:val="20"/>
          <w:szCs w:val="20"/>
          <w:lang w:eastAsia="sk-SK"/>
        </w:rPr>
        <w:t xml:space="preserve">  starosta obce</w:t>
      </w:r>
    </w:p>
    <w:p w:rsidR="00CD26D1" w:rsidRDefault="00CD26D1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D26D1" w:rsidRDefault="00CD26D1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47783" w:rsidRDefault="00647783" w:rsidP="00CD689C">
      <w:pPr>
        <w:spacing w:after="0" w:line="240" w:lineRule="auto"/>
        <w:ind w:left="6552" w:firstLine="52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D689C" w:rsidRPr="00CD689C" w:rsidRDefault="00CD689C" w:rsidP="00CD68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p w:rsidR="00AD5D7C" w:rsidRDefault="007439A8" w:rsidP="0044301B">
      <w:pPr>
        <w:pStyle w:val="Bezriadkovania"/>
      </w:pPr>
      <w:r>
        <w:t>Vyvesené dňa:</w:t>
      </w:r>
      <w:r>
        <w:tab/>
        <w:t>15.12.2012</w:t>
      </w:r>
    </w:p>
    <w:p w:rsidR="007439A8" w:rsidRDefault="007439A8" w:rsidP="0044301B">
      <w:pPr>
        <w:pStyle w:val="Bezriadkovania"/>
      </w:pPr>
      <w:r>
        <w:t>Zvesené dňa:</w:t>
      </w:r>
    </w:p>
    <w:sectPr w:rsidR="007439A8" w:rsidSect="0008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BD1"/>
    <w:multiLevelType w:val="hybridMultilevel"/>
    <w:tmpl w:val="850236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16C68"/>
    <w:multiLevelType w:val="hybridMultilevel"/>
    <w:tmpl w:val="DBA2578C"/>
    <w:lvl w:ilvl="0" w:tplc="14C4D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C"/>
    <w:rsid w:val="00087446"/>
    <w:rsid w:val="002F723A"/>
    <w:rsid w:val="0044301B"/>
    <w:rsid w:val="006260DB"/>
    <w:rsid w:val="00647783"/>
    <w:rsid w:val="007439A8"/>
    <w:rsid w:val="007C17A5"/>
    <w:rsid w:val="00802EF6"/>
    <w:rsid w:val="008910D9"/>
    <w:rsid w:val="00975DBC"/>
    <w:rsid w:val="00A97121"/>
    <w:rsid w:val="00C9228C"/>
    <w:rsid w:val="00CD26D1"/>
    <w:rsid w:val="00CD689C"/>
    <w:rsid w:val="00F0769C"/>
    <w:rsid w:val="00F859F3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43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43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17</cp:revision>
  <cp:lastPrinted>2012-12-14T13:39:00Z</cp:lastPrinted>
  <dcterms:created xsi:type="dcterms:W3CDTF">2012-11-28T12:46:00Z</dcterms:created>
  <dcterms:modified xsi:type="dcterms:W3CDTF">2012-12-14T13:43:00Z</dcterms:modified>
</cp:coreProperties>
</file>